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660D45" w14:textId="77777777" w:rsidR="00026E03" w:rsidRDefault="00026E03" w:rsidP="003825E9"/>
    <w:p w14:paraId="4F660D47" w14:textId="0E80918B" w:rsidR="00D61C00" w:rsidRPr="00B94EBE" w:rsidRDefault="00404546" w:rsidP="003825E9">
      <w:pPr>
        <w:rPr>
          <w:color w:val="403152" w:themeColor="accent4" w:themeShade="80"/>
        </w:rPr>
      </w:pPr>
      <w:r w:rsidRPr="00B94EBE">
        <w:rPr>
          <w:color w:val="403152" w:themeColor="accent4" w:themeShade="80"/>
        </w:rPr>
        <w:t>To</w:t>
      </w:r>
    </w:p>
    <w:p w14:paraId="4F660D48" w14:textId="77777777" w:rsidR="00404546" w:rsidRPr="00B94EBE" w:rsidRDefault="00404546" w:rsidP="003825E9">
      <w:pPr>
        <w:rPr>
          <w:color w:val="403152" w:themeColor="accent4" w:themeShade="80"/>
        </w:rPr>
      </w:pPr>
      <w:r w:rsidRPr="00B94EBE">
        <w:rPr>
          <w:color w:val="403152" w:themeColor="accent4" w:themeShade="80"/>
        </w:rPr>
        <w:t>The Chief Immigration Officer</w:t>
      </w:r>
    </w:p>
    <w:p w14:paraId="4F660D49" w14:textId="77777777" w:rsidR="00404546" w:rsidRPr="00B94EBE" w:rsidRDefault="00D61C00" w:rsidP="003825E9">
      <w:pPr>
        <w:rPr>
          <w:color w:val="403152" w:themeColor="accent4" w:themeShade="80"/>
        </w:rPr>
      </w:pPr>
      <w:r w:rsidRPr="00B94EBE">
        <w:rPr>
          <w:color w:val="403152" w:themeColor="accent4" w:themeShade="80"/>
        </w:rPr>
        <w:t xml:space="preserve"> 67</w:t>
      </w:r>
      <w:r w:rsidR="00404546" w:rsidRPr="00B94EBE">
        <w:rPr>
          <w:color w:val="403152" w:themeColor="accent4" w:themeShade="80"/>
        </w:rPr>
        <w:t xml:space="preserve"> Frederick Street</w:t>
      </w:r>
    </w:p>
    <w:p w14:paraId="4F660D4A" w14:textId="77777777" w:rsidR="00404546" w:rsidRPr="00B94EBE" w:rsidRDefault="00404546" w:rsidP="003825E9">
      <w:pPr>
        <w:rPr>
          <w:color w:val="403152" w:themeColor="accent4" w:themeShade="80"/>
        </w:rPr>
      </w:pPr>
      <w:r w:rsidRPr="00B94EBE">
        <w:rPr>
          <w:color w:val="403152" w:themeColor="accent4" w:themeShade="80"/>
        </w:rPr>
        <w:t>Port of  Spain</w:t>
      </w:r>
    </w:p>
    <w:p w14:paraId="4F660D4B" w14:textId="77777777" w:rsidR="00404546" w:rsidRPr="00B94EBE" w:rsidRDefault="00404546" w:rsidP="003825E9">
      <w:pPr>
        <w:rPr>
          <w:color w:val="403152" w:themeColor="accent4" w:themeShade="80"/>
        </w:rPr>
      </w:pPr>
    </w:p>
    <w:p w14:paraId="4F660D4C" w14:textId="77777777" w:rsidR="00404546" w:rsidRPr="00B94EBE" w:rsidRDefault="00404546" w:rsidP="003825E9">
      <w:pPr>
        <w:rPr>
          <w:color w:val="403152" w:themeColor="accent4" w:themeShade="80"/>
        </w:rPr>
      </w:pPr>
      <w:r w:rsidRPr="00B94EBE">
        <w:rPr>
          <w:color w:val="403152" w:themeColor="accent4" w:themeShade="80"/>
        </w:rPr>
        <w:t>Dear Sir,</w:t>
      </w:r>
    </w:p>
    <w:p w14:paraId="4F660D4D" w14:textId="77777777" w:rsidR="00404546" w:rsidRPr="00B94EBE" w:rsidRDefault="00404546" w:rsidP="003825E9">
      <w:pPr>
        <w:rPr>
          <w:color w:val="403152" w:themeColor="accent4" w:themeShade="80"/>
        </w:rPr>
      </w:pPr>
      <w:r w:rsidRPr="00B94EBE">
        <w:rPr>
          <w:color w:val="403152" w:themeColor="accent4" w:themeShade="80"/>
        </w:rPr>
        <w:tab/>
      </w:r>
    </w:p>
    <w:p w14:paraId="4F660D4E" w14:textId="18CD1F83" w:rsidR="00404546" w:rsidRPr="00B94EBE" w:rsidRDefault="00404546" w:rsidP="003825E9">
      <w:pPr>
        <w:rPr>
          <w:color w:val="403152" w:themeColor="accent4" w:themeShade="80"/>
        </w:rPr>
      </w:pPr>
      <w:r w:rsidRPr="00B94EBE">
        <w:rPr>
          <w:color w:val="403152" w:themeColor="accent4" w:themeShade="80"/>
        </w:rPr>
        <w:tab/>
        <w:t>Re:</w:t>
      </w:r>
      <w:r w:rsidR="001D150C" w:rsidRPr="00B94EBE">
        <w:rPr>
          <w:color w:val="403152" w:themeColor="accent4" w:themeShade="80"/>
        </w:rPr>
        <w:t xml:space="preserve">  </w:t>
      </w:r>
      <w:r w:rsidR="00FB43A2">
        <w:rPr>
          <w:color w:val="403152" w:themeColor="accent4" w:themeShade="80"/>
        </w:rPr>
        <w:t xml:space="preserve">Permanent Residency of </w:t>
      </w:r>
      <w:r w:rsidR="009D5416">
        <w:rPr>
          <w:color w:val="403152" w:themeColor="accent4" w:themeShade="80"/>
        </w:rPr>
        <w:t>Esmarene Marsh.</w:t>
      </w:r>
    </w:p>
    <w:p w14:paraId="4F660D4F" w14:textId="77777777" w:rsidR="001D150C" w:rsidRPr="00B94EBE" w:rsidRDefault="001D150C" w:rsidP="003825E9">
      <w:pPr>
        <w:rPr>
          <w:color w:val="403152" w:themeColor="accent4" w:themeShade="80"/>
        </w:rPr>
      </w:pPr>
    </w:p>
    <w:p w14:paraId="0027323F" w14:textId="77777777" w:rsidR="003D6FC8" w:rsidRDefault="001D150C" w:rsidP="003825E9">
      <w:pPr>
        <w:rPr>
          <w:color w:val="403152" w:themeColor="accent4" w:themeShade="80"/>
        </w:rPr>
      </w:pPr>
      <w:r w:rsidRPr="00B94EBE">
        <w:rPr>
          <w:color w:val="403152" w:themeColor="accent4" w:themeShade="80"/>
        </w:rPr>
        <w:t xml:space="preserve">We represent the above </w:t>
      </w:r>
      <w:r w:rsidR="003D6FC8">
        <w:rPr>
          <w:color w:val="403152" w:themeColor="accent4" w:themeShade="80"/>
        </w:rPr>
        <w:t>applicant.</w:t>
      </w:r>
    </w:p>
    <w:p w14:paraId="4F660D50" w14:textId="0680503C" w:rsidR="001D150C" w:rsidRPr="00B94EBE" w:rsidRDefault="003D6FC8" w:rsidP="003825E9">
      <w:pPr>
        <w:rPr>
          <w:color w:val="403152" w:themeColor="accent4" w:themeShade="80"/>
        </w:rPr>
      </w:pPr>
      <w:r>
        <w:rPr>
          <w:color w:val="403152" w:themeColor="accent4" w:themeShade="80"/>
        </w:rPr>
        <w:t>We are instructed that the applicant</w:t>
      </w:r>
      <w:r w:rsidR="006E1010">
        <w:rPr>
          <w:color w:val="403152" w:themeColor="accent4" w:themeShade="80"/>
        </w:rPr>
        <w:t xml:space="preserve"> applied for a Permanent residency under Section 6 (1</w:t>
      </w:r>
      <w:r w:rsidR="00BD1CB9">
        <w:rPr>
          <w:color w:val="403152" w:themeColor="accent4" w:themeShade="80"/>
        </w:rPr>
        <w:t>) C.</w:t>
      </w:r>
      <w:r w:rsidR="00B85A72">
        <w:rPr>
          <w:color w:val="403152" w:themeColor="accent4" w:themeShade="80"/>
        </w:rPr>
        <w:t xml:space="preserve"> Miss Marsh </w:t>
      </w:r>
      <w:r w:rsidR="001A5CEF">
        <w:rPr>
          <w:color w:val="403152" w:themeColor="accent4" w:themeShade="80"/>
        </w:rPr>
        <w:t xml:space="preserve">was married on </w:t>
      </w:r>
      <w:r w:rsidR="00302115">
        <w:rPr>
          <w:color w:val="403152" w:themeColor="accent4" w:themeShade="80"/>
        </w:rPr>
        <w:t>20</w:t>
      </w:r>
      <w:r w:rsidR="00302115" w:rsidRPr="00302115">
        <w:rPr>
          <w:color w:val="403152" w:themeColor="accent4" w:themeShade="80"/>
          <w:vertAlign w:val="superscript"/>
        </w:rPr>
        <w:t>th</w:t>
      </w:r>
      <w:r w:rsidR="00302115">
        <w:rPr>
          <w:color w:val="403152" w:themeColor="accent4" w:themeShade="80"/>
        </w:rPr>
        <w:t xml:space="preserve"> of November, 2015.</w:t>
      </w:r>
      <w:bookmarkStart w:id="0" w:name="_GoBack"/>
      <w:bookmarkEnd w:id="0"/>
      <w:r w:rsidR="001D150C" w:rsidRPr="00B94EBE">
        <w:rPr>
          <w:color w:val="403152" w:themeColor="accent4" w:themeShade="80"/>
        </w:rPr>
        <w:t xml:space="preserve"> We are instructed that on 29</w:t>
      </w:r>
      <w:r w:rsidR="001D150C" w:rsidRPr="00B94EBE">
        <w:rPr>
          <w:color w:val="403152" w:themeColor="accent4" w:themeShade="80"/>
          <w:vertAlign w:val="superscript"/>
        </w:rPr>
        <w:t>th</w:t>
      </w:r>
      <w:r w:rsidR="001D150C" w:rsidRPr="00B94EBE">
        <w:rPr>
          <w:color w:val="403152" w:themeColor="accent4" w:themeShade="80"/>
        </w:rPr>
        <w:t xml:space="preserve"> of March, 2011, your officers detained the above immigrants</w:t>
      </w:r>
      <w:r w:rsidR="00B51CD5" w:rsidRPr="00B94EBE">
        <w:rPr>
          <w:color w:val="403152" w:themeColor="accent4" w:themeShade="80"/>
        </w:rPr>
        <w:t xml:space="preserve"> for working without the work permits, in the Ocean Chinese restaurant.</w:t>
      </w:r>
    </w:p>
    <w:p w14:paraId="4F660D51" w14:textId="77777777" w:rsidR="00B51CD5" w:rsidRPr="00B94EBE" w:rsidRDefault="00B51CD5" w:rsidP="003825E9">
      <w:pPr>
        <w:rPr>
          <w:color w:val="403152" w:themeColor="accent4" w:themeShade="80"/>
        </w:rPr>
      </w:pPr>
    </w:p>
    <w:p w14:paraId="4F660D52" w14:textId="77777777" w:rsidR="00B51CD5" w:rsidRPr="00B94EBE" w:rsidRDefault="00B51CD5" w:rsidP="003825E9">
      <w:pPr>
        <w:rPr>
          <w:color w:val="403152" w:themeColor="accent4" w:themeShade="80"/>
        </w:rPr>
      </w:pPr>
      <w:r w:rsidRPr="00B94EBE">
        <w:rPr>
          <w:color w:val="403152" w:themeColor="accent4" w:themeShade="80"/>
        </w:rPr>
        <w:t>The matter was dealt on 7</w:t>
      </w:r>
      <w:r w:rsidRPr="00B94EBE">
        <w:rPr>
          <w:color w:val="403152" w:themeColor="accent4" w:themeShade="80"/>
          <w:vertAlign w:val="superscript"/>
        </w:rPr>
        <w:t>th</w:t>
      </w:r>
      <w:r w:rsidRPr="00B94EBE">
        <w:rPr>
          <w:color w:val="403152" w:themeColor="accent4" w:themeShade="80"/>
        </w:rPr>
        <w:t xml:space="preserve"> of April, 2011, in the magistrates’ court before the Magistrate Her worship Miss. Cardinez -Ragoonanan. Her worship reprimanded the defendants and  discharged the matter.</w:t>
      </w:r>
    </w:p>
    <w:p w14:paraId="4F660D53" w14:textId="77777777" w:rsidR="00B51CD5" w:rsidRPr="00B94EBE" w:rsidRDefault="00B51CD5" w:rsidP="003825E9">
      <w:pPr>
        <w:rPr>
          <w:color w:val="403152" w:themeColor="accent4" w:themeShade="80"/>
        </w:rPr>
      </w:pPr>
    </w:p>
    <w:p w14:paraId="4F660D54" w14:textId="77777777" w:rsidR="00B51CD5" w:rsidRPr="00B94EBE" w:rsidRDefault="00E12B9B" w:rsidP="003825E9">
      <w:pPr>
        <w:rPr>
          <w:color w:val="403152" w:themeColor="accent4" w:themeShade="80"/>
        </w:rPr>
      </w:pPr>
      <w:r w:rsidRPr="00B94EBE">
        <w:rPr>
          <w:color w:val="403152" w:themeColor="accent4" w:themeShade="80"/>
        </w:rPr>
        <w:t>Your officers subse</w:t>
      </w:r>
      <w:r w:rsidR="00B51CD5" w:rsidRPr="00B94EBE">
        <w:rPr>
          <w:color w:val="403152" w:themeColor="accent4" w:themeShade="80"/>
        </w:rPr>
        <w:t>quently detained the immigrants under Sec.15 of the immigration act chap 18:01 for an i</w:t>
      </w:r>
      <w:r w:rsidR="00D61C00" w:rsidRPr="00B94EBE">
        <w:rPr>
          <w:color w:val="403152" w:themeColor="accent4" w:themeShade="80"/>
        </w:rPr>
        <w:t>nquiry on suspicion of falling</w:t>
      </w:r>
      <w:r w:rsidR="00B51CD5" w:rsidRPr="00B94EBE">
        <w:rPr>
          <w:color w:val="403152" w:themeColor="accent4" w:themeShade="80"/>
        </w:rPr>
        <w:t xml:space="preserve"> under the provision s of Sec 9 (4) (f)</w:t>
      </w:r>
    </w:p>
    <w:p w14:paraId="4F660D55" w14:textId="77777777" w:rsidR="00B51CD5" w:rsidRPr="00B94EBE" w:rsidRDefault="00B51CD5" w:rsidP="003825E9">
      <w:pPr>
        <w:rPr>
          <w:b/>
          <w:i/>
          <w:color w:val="403152" w:themeColor="accent4" w:themeShade="80"/>
        </w:rPr>
      </w:pPr>
      <w:r w:rsidRPr="00B94EBE">
        <w:rPr>
          <w:color w:val="403152" w:themeColor="accent4" w:themeShade="80"/>
        </w:rPr>
        <w:tab/>
        <w:t xml:space="preserve">“ </w:t>
      </w:r>
      <w:r w:rsidRPr="00B94EBE">
        <w:rPr>
          <w:b/>
          <w:i/>
          <w:color w:val="403152" w:themeColor="accent4" w:themeShade="80"/>
        </w:rPr>
        <w:t xml:space="preserve">was admitted or deemed to have been admitted to Trinidad and Tobago under sec(1) and remains therein after the expiration of the certificate issued to him under subsection (2) </w:t>
      </w:r>
      <w:r w:rsidR="00E12B9B" w:rsidRPr="00B94EBE">
        <w:rPr>
          <w:b/>
          <w:i/>
          <w:color w:val="403152" w:themeColor="accent4" w:themeShade="80"/>
        </w:rPr>
        <w:t>.</w:t>
      </w:r>
    </w:p>
    <w:p w14:paraId="4F660D56" w14:textId="77777777" w:rsidR="00E12B9B" w:rsidRPr="00B94EBE" w:rsidRDefault="00E12B9B" w:rsidP="003825E9">
      <w:pPr>
        <w:rPr>
          <w:b/>
          <w:i/>
          <w:color w:val="403152" w:themeColor="accent4" w:themeShade="80"/>
        </w:rPr>
      </w:pPr>
    </w:p>
    <w:p w14:paraId="4F660D57" w14:textId="77777777" w:rsidR="00E12B9B" w:rsidRPr="00B94EBE" w:rsidRDefault="00E12B9B" w:rsidP="003825E9">
      <w:pPr>
        <w:rPr>
          <w:color w:val="403152" w:themeColor="accent4" w:themeShade="80"/>
        </w:rPr>
      </w:pPr>
      <w:r w:rsidRPr="00B94EBE">
        <w:rPr>
          <w:color w:val="403152" w:themeColor="accent4" w:themeShade="80"/>
        </w:rPr>
        <w:t>However, the persons donot fall under the 9 (4) category unless  the minister declares that such person ceased to be permitted entrants and such person shall thereupon cease to be permitted entrant.</w:t>
      </w:r>
    </w:p>
    <w:p w14:paraId="4F660D58" w14:textId="77777777" w:rsidR="00E12B9B" w:rsidRPr="00B94EBE" w:rsidRDefault="00E12B9B" w:rsidP="003825E9">
      <w:pPr>
        <w:rPr>
          <w:color w:val="403152" w:themeColor="accent4" w:themeShade="80"/>
        </w:rPr>
      </w:pPr>
    </w:p>
    <w:p w14:paraId="4F660D59" w14:textId="77777777" w:rsidR="00E12B9B" w:rsidRPr="00B94EBE" w:rsidRDefault="00E12B9B" w:rsidP="003825E9">
      <w:pPr>
        <w:rPr>
          <w:color w:val="403152" w:themeColor="accent4" w:themeShade="80"/>
        </w:rPr>
      </w:pPr>
      <w:r w:rsidRPr="00B94EBE">
        <w:rPr>
          <w:color w:val="403152" w:themeColor="accent4" w:themeShade="80"/>
        </w:rPr>
        <w:t xml:space="preserve">There is a privy council </w:t>
      </w:r>
      <w:r w:rsidR="00535AF6" w:rsidRPr="00B94EBE">
        <w:rPr>
          <w:color w:val="403152" w:themeColor="accent4" w:themeShade="80"/>
        </w:rPr>
        <w:t>appeal judgement which is similar to</w:t>
      </w:r>
      <w:r w:rsidRPr="00B94EBE">
        <w:rPr>
          <w:color w:val="403152" w:themeColor="accent4" w:themeShade="80"/>
        </w:rPr>
        <w:t xml:space="preserve">  the present matter.</w:t>
      </w:r>
    </w:p>
    <w:p w14:paraId="4F660D5A" w14:textId="77777777" w:rsidR="00E12B9B" w:rsidRPr="00B94EBE" w:rsidRDefault="00535AF6" w:rsidP="003825E9">
      <w:pPr>
        <w:rPr>
          <w:b/>
          <w:color w:val="403152" w:themeColor="accent4" w:themeShade="80"/>
          <w:sz w:val="28"/>
          <w:szCs w:val="28"/>
        </w:rPr>
      </w:pPr>
      <w:r w:rsidRPr="00B94EBE">
        <w:rPr>
          <w:b/>
          <w:color w:val="403152" w:themeColor="accent4" w:themeShade="80"/>
          <w:sz w:val="28"/>
          <w:szCs w:val="28"/>
        </w:rPr>
        <w:t>Privy council Appeal No.10 of 2003</w:t>
      </w:r>
    </w:p>
    <w:p w14:paraId="4F660D5B" w14:textId="77777777" w:rsidR="00535AF6" w:rsidRPr="00B94EBE" w:rsidRDefault="00535AF6" w:rsidP="003825E9">
      <w:pPr>
        <w:rPr>
          <w:b/>
          <w:color w:val="403152" w:themeColor="accent4" w:themeShade="80"/>
          <w:sz w:val="28"/>
          <w:szCs w:val="28"/>
        </w:rPr>
      </w:pPr>
      <w:r w:rsidRPr="00B94EBE">
        <w:rPr>
          <w:b/>
          <w:color w:val="403152" w:themeColor="accent4" w:themeShade="80"/>
          <w:sz w:val="28"/>
          <w:szCs w:val="28"/>
        </w:rPr>
        <w:t>Robert Perekebena Naidike vs The Attorney General of Trinidad and Tobago</w:t>
      </w:r>
    </w:p>
    <w:p w14:paraId="4F660D5C" w14:textId="77777777" w:rsidR="00535AF6" w:rsidRPr="00B94EBE" w:rsidRDefault="00535AF6" w:rsidP="003825E9">
      <w:pPr>
        <w:rPr>
          <w:b/>
          <w:color w:val="403152" w:themeColor="accent4" w:themeShade="80"/>
          <w:sz w:val="28"/>
          <w:szCs w:val="28"/>
        </w:rPr>
      </w:pPr>
    </w:p>
    <w:p w14:paraId="4F660D5D" w14:textId="77777777" w:rsidR="00535AF6" w:rsidRPr="00B94EBE" w:rsidRDefault="009B200E" w:rsidP="003825E9">
      <w:pPr>
        <w:rPr>
          <w:color w:val="403152" w:themeColor="accent4" w:themeShade="80"/>
        </w:rPr>
      </w:pPr>
      <w:r w:rsidRPr="00B94EBE">
        <w:rPr>
          <w:color w:val="403152" w:themeColor="accent4" w:themeShade="80"/>
        </w:rPr>
        <w:t>Which made it clear that the declaration by the minister have to be made before the powers of detention under Section 15 could be invoked by the officers. See paragraphs 37 to 57 especially paragraphs  41 and 42.</w:t>
      </w:r>
    </w:p>
    <w:p w14:paraId="4F660D5E" w14:textId="77777777" w:rsidR="009B200E" w:rsidRPr="00B94EBE" w:rsidRDefault="009B200E" w:rsidP="003825E9">
      <w:pPr>
        <w:rPr>
          <w:color w:val="403152" w:themeColor="accent4" w:themeShade="80"/>
        </w:rPr>
      </w:pPr>
    </w:p>
    <w:p w14:paraId="4F660D5F" w14:textId="77777777" w:rsidR="009B200E" w:rsidRDefault="009B200E" w:rsidP="003825E9">
      <w:r>
        <w:t>In the case of YUXIN LIN,  he applied for permanent residence and the honourable minister accepted his application since he has been residing here over si</w:t>
      </w:r>
      <w:r w:rsidR="00D61C00">
        <w:t xml:space="preserve">x years. He was granted a E VISA </w:t>
      </w:r>
      <w:r>
        <w:t>by the immigration division to leave and reenter this country and to pursue his application for permanent residence. He reentered this country on 7</w:t>
      </w:r>
      <w:r w:rsidRPr="009B200E">
        <w:rPr>
          <w:vertAlign w:val="superscript"/>
        </w:rPr>
        <w:t>th</w:t>
      </w:r>
      <w:r>
        <w:t xml:space="preserve"> of July, 2010 and granted permission to stay until the 6</w:t>
      </w:r>
      <w:r w:rsidRPr="009B200E">
        <w:rPr>
          <w:vertAlign w:val="superscript"/>
        </w:rPr>
        <w:t>th</w:t>
      </w:r>
      <w:r>
        <w:t xml:space="preserve"> of October, 2010. This certificate was further extended to 6</w:t>
      </w:r>
      <w:r w:rsidRPr="009B200E">
        <w:rPr>
          <w:vertAlign w:val="superscript"/>
        </w:rPr>
        <w:t>th</w:t>
      </w:r>
      <w:r>
        <w:t xml:space="preserve"> of April 2011, pending permanent residence. Your office file 12- 10- 21 refers.</w:t>
      </w:r>
    </w:p>
    <w:p w14:paraId="4F660D60" w14:textId="77777777" w:rsidR="009B200E" w:rsidRDefault="009B200E" w:rsidP="003825E9"/>
    <w:p w14:paraId="4F660D61" w14:textId="77777777" w:rsidR="009B200E" w:rsidRDefault="009B200E" w:rsidP="003825E9">
      <w:r>
        <w:t>It should be noted that on the 29</w:t>
      </w:r>
      <w:r w:rsidRPr="009B200E">
        <w:rPr>
          <w:vertAlign w:val="superscript"/>
        </w:rPr>
        <w:t>th</w:t>
      </w:r>
      <w:r>
        <w:t xml:space="preserve"> of March, 2011, Mr. Lin was detained by your officers for working in the Ocean Chinese restaurant without a valid work permit. However t</w:t>
      </w:r>
      <w:r w:rsidR="00D61C00">
        <w:t>his was subsequently discharged. Despite the issue, Mr. Lin was unlawfully detained by your officers despite the mention.</w:t>
      </w:r>
    </w:p>
    <w:p w14:paraId="4F660D62" w14:textId="77777777" w:rsidR="00D61C00" w:rsidRDefault="00D61C00" w:rsidP="003825E9"/>
    <w:p w14:paraId="4F660D63" w14:textId="77777777" w:rsidR="00D61C00" w:rsidRPr="00B94EBE" w:rsidRDefault="00D61C00" w:rsidP="003825E9">
      <w:pPr>
        <w:rPr>
          <w:color w:val="215868" w:themeColor="accent5" w:themeShade="80"/>
        </w:rPr>
      </w:pPr>
      <w:r w:rsidRPr="00B94EBE">
        <w:rPr>
          <w:color w:val="215868" w:themeColor="accent5" w:themeShade="80"/>
        </w:rPr>
        <w:t>In these circumstances we humbly request you to release them from the detention with an order for super vision pending finality of this matter.</w:t>
      </w:r>
    </w:p>
    <w:p w14:paraId="4F660D64" w14:textId="77777777" w:rsidR="00D61C00" w:rsidRPr="00B94EBE" w:rsidRDefault="00D61C00" w:rsidP="003825E9">
      <w:pPr>
        <w:rPr>
          <w:color w:val="215868" w:themeColor="accent5" w:themeShade="80"/>
        </w:rPr>
      </w:pPr>
    </w:p>
    <w:p w14:paraId="4F660D65" w14:textId="77777777" w:rsidR="00D61C00" w:rsidRPr="00B94EBE" w:rsidRDefault="00D61C00" w:rsidP="003825E9">
      <w:pPr>
        <w:rPr>
          <w:color w:val="215868" w:themeColor="accent5" w:themeShade="80"/>
        </w:rPr>
      </w:pPr>
    </w:p>
    <w:p w14:paraId="4F660D66" w14:textId="77777777" w:rsidR="00E12B9B" w:rsidRPr="00B94EBE" w:rsidRDefault="00D61C00" w:rsidP="003825E9">
      <w:pPr>
        <w:rPr>
          <w:color w:val="215868" w:themeColor="accent5" w:themeShade="80"/>
        </w:rPr>
      </w:pPr>
      <w:r w:rsidRPr="00B94EBE">
        <w:rPr>
          <w:color w:val="215868" w:themeColor="accent5" w:themeShade="80"/>
        </w:rPr>
        <w:t>I have been instructed to file a judicial review action and/or writ of habeas corpus if the detainees are not released as soon as could be possible</w:t>
      </w:r>
    </w:p>
    <w:p w14:paraId="4F660D67" w14:textId="77777777" w:rsidR="00E12B9B" w:rsidRPr="00B94EBE" w:rsidRDefault="00E12B9B" w:rsidP="003825E9">
      <w:pPr>
        <w:rPr>
          <w:color w:val="215868" w:themeColor="accent5" w:themeShade="80"/>
        </w:rPr>
      </w:pPr>
    </w:p>
    <w:p w14:paraId="4F660D68" w14:textId="77777777" w:rsidR="001E330E" w:rsidRPr="00B94EBE" w:rsidRDefault="001E330E" w:rsidP="003825E9">
      <w:pPr>
        <w:rPr>
          <w:color w:val="215868" w:themeColor="accent5" w:themeShade="80"/>
        </w:rPr>
      </w:pPr>
    </w:p>
    <w:p w14:paraId="4F660D69" w14:textId="77777777" w:rsidR="00A357F2" w:rsidRPr="00B94EBE" w:rsidRDefault="00A357F2" w:rsidP="00F035B4">
      <w:pPr>
        <w:jc w:val="both"/>
        <w:rPr>
          <w:rFonts w:ascii="Courier New" w:hAnsi="Courier New" w:cs="Courier New"/>
          <w:b/>
          <w:color w:val="215868" w:themeColor="accent5" w:themeShade="80"/>
          <w:sz w:val="22"/>
          <w:szCs w:val="22"/>
        </w:rPr>
      </w:pPr>
      <w:r w:rsidRPr="00B94EBE">
        <w:rPr>
          <w:rFonts w:ascii="Courier New" w:hAnsi="Courier New" w:cs="Courier New"/>
          <w:b/>
          <w:color w:val="215868" w:themeColor="accent5" w:themeShade="80"/>
          <w:sz w:val="22"/>
          <w:szCs w:val="22"/>
        </w:rPr>
        <w:t>Yours in Service</w:t>
      </w:r>
    </w:p>
    <w:p w14:paraId="4F660D6A" w14:textId="77777777" w:rsidR="00A357F2" w:rsidRPr="00B94EBE" w:rsidRDefault="00A357F2" w:rsidP="00F035B4">
      <w:pPr>
        <w:jc w:val="both"/>
        <w:rPr>
          <w:rFonts w:ascii="Courier New" w:hAnsi="Courier New" w:cs="Courier New"/>
          <w:b/>
          <w:color w:val="215868" w:themeColor="accent5" w:themeShade="80"/>
          <w:sz w:val="22"/>
          <w:szCs w:val="22"/>
        </w:rPr>
      </w:pPr>
    </w:p>
    <w:p w14:paraId="4F660D6B" w14:textId="77777777" w:rsidR="00A357F2" w:rsidRPr="00B94EBE" w:rsidRDefault="00A357F2" w:rsidP="00F035B4">
      <w:pPr>
        <w:jc w:val="both"/>
        <w:rPr>
          <w:rFonts w:ascii="Courier New" w:hAnsi="Courier New" w:cs="Courier New"/>
          <w:b/>
          <w:color w:val="215868" w:themeColor="accent5" w:themeShade="80"/>
          <w:sz w:val="22"/>
          <w:szCs w:val="22"/>
        </w:rPr>
      </w:pPr>
    </w:p>
    <w:p w14:paraId="4F660D6C" w14:textId="77777777" w:rsidR="00A357F2" w:rsidRPr="00B94EBE" w:rsidRDefault="00A357F2" w:rsidP="00F035B4">
      <w:pPr>
        <w:jc w:val="both"/>
        <w:rPr>
          <w:rFonts w:ascii="Courier New" w:hAnsi="Courier New" w:cs="Courier New"/>
          <w:b/>
          <w:color w:val="215868" w:themeColor="accent5" w:themeShade="80"/>
          <w:sz w:val="22"/>
          <w:szCs w:val="22"/>
        </w:rPr>
      </w:pPr>
      <w:r w:rsidRPr="00B94EBE">
        <w:rPr>
          <w:rFonts w:ascii="Courier New" w:hAnsi="Courier New" w:cs="Courier New"/>
          <w:b/>
          <w:color w:val="215868" w:themeColor="accent5" w:themeShade="80"/>
          <w:sz w:val="22"/>
          <w:szCs w:val="22"/>
        </w:rPr>
        <w:t xml:space="preserve">Christopher Ross Gidla </w:t>
      </w:r>
    </w:p>
    <w:p w14:paraId="4F660D6D" w14:textId="77777777" w:rsidR="00A357F2" w:rsidRPr="00B94EBE" w:rsidRDefault="00A357F2" w:rsidP="00F035B4">
      <w:pPr>
        <w:jc w:val="both"/>
        <w:rPr>
          <w:rFonts w:ascii="Courier New" w:hAnsi="Courier New" w:cs="Courier New"/>
          <w:b/>
          <w:color w:val="215868" w:themeColor="accent5" w:themeShade="80"/>
          <w:sz w:val="22"/>
          <w:szCs w:val="22"/>
        </w:rPr>
      </w:pPr>
      <w:r w:rsidRPr="00B94EBE">
        <w:rPr>
          <w:rFonts w:ascii="Courier New" w:hAnsi="Courier New" w:cs="Courier New"/>
          <w:b/>
          <w:color w:val="215868" w:themeColor="accent5" w:themeShade="80"/>
          <w:sz w:val="22"/>
          <w:szCs w:val="22"/>
        </w:rPr>
        <w:t>Attorney at law</w:t>
      </w:r>
    </w:p>
    <w:p w14:paraId="4F660D6E" w14:textId="77777777" w:rsidR="002D4904" w:rsidRDefault="002D4904" w:rsidP="00F035B4">
      <w:pPr>
        <w:jc w:val="both"/>
        <w:rPr>
          <w:rFonts w:ascii="Courier New" w:hAnsi="Courier New" w:cs="Courier New"/>
        </w:rPr>
      </w:pPr>
    </w:p>
    <w:p w14:paraId="4F660D6F" w14:textId="77777777" w:rsidR="007B6645" w:rsidRDefault="007B6645" w:rsidP="00F035B4">
      <w:pPr>
        <w:jc w:val="both"/>
        <w:rPr>
          <w:rFonts w:ascii="Courier New" w:hAnsi="Courier New" w:cs="Courier New"/>
        </w:rPr>
      </w:pPr>
    </w:p>
    <w:p w14:paraId="4F660D70" w14:textId="77777777" w:rsidR="0070645B" w:rsidRDefault="0070645B" w:rsidP="00F035B4">
      <w:pPr>
        <w:jc w:val="both"/>
        <w:rPr>
          <w:rFonts w:ascii="Courier New" w:hAnsi="Courier New" w:cs="Courier New"/>
        </w:rPr>
      </w:pPr>
    </w:p>
    <w:p w14:paraId="4F660D71" w14:textId="77777777" w:rsidR="0070645B" w:rsidRDefault="0070645B" w:rsidP="00F035B4">
      <w:pPr>
        <w:jc w:val="both"/>
        <w:rPr>
          <w:rFonts w:ascii="Courier New" w:hAnsi="Courier New" w:cs="Courier New"/>
        </w:rPr>
      </w:pPr>
    </w:p>
    <w:p w14:paraId="4F660D72" w14:textId="77777777" w:rsidR="001F650A" w:rsidRPr="001F650A" w:rsidRDefault="001F650A" w:rsidP="00F035B4">
      <w:pPr>
        <w:jc w:val="both"/>
        <w:rPr>
          <w:rFonts w:ascii="Courier New" w:hAnsi="Courier New" w:cs="Courier New"/>
        </w:rPr>
      </w:pPr>
    </w:p>
    <w:p w14:paraId="4F660D73" w14:textId="77777777" w:rsidR="00F035B4" w:rsidRPr="001F650A" w:rsidRDefault="00F035B4" w:rsidP="00F035B4">
      <w:pPr>
        <w:jc w:val="both"/>
        <w:rPr>
          <w:rFonts w:ascii="Courier New" w:hAnsi="Courier New" w:cs="Courier New"/>
        </w:rPr>
      </w:pPr>
    </w:p>
    <w:p w14:paraId="4F660D74" w14:textId="77777777"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FA6BA6" w14:textId="77777777" w:rsidR="004F25A0" w:rsidRDefault="004F25A0">
      <w:r>
        <w:separator/>
      </w:r>
    </w:p>
  </w:endnote>
  <w:endnote w:type="continuationSeparator" w:id="0">
    <w:p w14:paraId="75201338" w14:textId="77777777" w:rsidR="004F25A0" w:rsidRDefault="004F25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4E6FA" w14:textId="77777777" w:rsidR="004F25A0" w:rsidRDefault="004F25A0">
      <w:r>
        <w:separator/>
      </w:r>
    </w:p>
  </w:footnote>
  <w:footnote w:type="continuationSeparator" w:id="0">
    <w:p w14:paraId="3452E904" w14:textId="77777777" w:rsidR="004F25A0" w:rsidRDefault="004F25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660D79" w14:textId="77777777" w:rsidR="003825E9" w:rsidRPr="003825E9" w:rsidRDefault="003825E9" w:rsidP="003825E9">
    <w:pPr>
      <w:tabs>
        <w:tab w:val="left" w:pos="6300"/>
        <w:tab w:val="left" w:pos="6564"/>
      </w:tabs>
      <w:jc w:val="both"/>
      <w:rPr>
        <w:rFonts w:ascii="SimSun" w:eastAsia="SimSun" w:hAnsi="SimSun" w:cs="Courier New"/>
        <w:b/>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A5CEF"/>
    <w:rsid w:val="001B54D1"/>
    <w:rsid w:val="001B7455"/>
    <w:rsid w:val="001C51F4"/>
    <w:rsid w:val="001D150C"/>
    <w:rsid w:val="001E330E"/>
    <w:rsid w:val="001F650A"/>
    <w:rsid w:val="00207CF3"/>
    <w:rsid w:val="0021267D"/>
    <w:rsid w:val="002161CF"/>
    <w:rsid w:val="00241298"/>
    <w:rsid w:val="00263303"/>
    <w:rsid w:val="002A5E74"/>
    <w:rsid w:val="002C7480"/>
    <w:rsid w:val="002D4904"/>
    <w:rsid w:val="002F4075"/>
    <w:rsid w:val="00302115"/>
    <w:rsid w:val="00306649"/>
    <w:rsid w:val="003354C8"/>
    <w:rsid w:val="00375687"/>
    <w:rsid w:val="003757CD"/>
    <w:rsid w:val="003825E9"/>
    <w:rsid w:val="00386C06"/>
    <w:rsid w:val="00393553"/>
    <w:rsid w:val="003A03A4"/>
    <w:rsid w:val="003A6888"/>
    <w:rsid w:val="003C13B0"/>
    <w:rsid w:val="003D6FC8"/>
    <w:rsid w:val="004043B0"/>
    <w:rsid w:val="00404546"/>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4F25A0"/>
    <w:rsid w:val="005348AA"/>
    <w:rsid w:val="00535744"/>
    <w:rsid w:val="00535AF6"/>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010"/>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B200E"/>
    <w:rsid w:val="009C2BEE"/>
    <w:rsid w:val="009D5416"/>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51CD5"/>
    <w:rsid w:val="00B72152"/>
    <w:rsid w:val="00B72FF0"/>
    <w:rsid w:val="00B76B91"/>
    <w:rsid w:val="00B85A72"/>
    <w:rsid w:val="00B94788"/>
    <w:rsid w:val="00B94EBE"/>
    <w:rsid w:val="00B97AA5"/>
    <w:rsid w:val="00BA2F0C"/>
    <w:rsid w:val="00BA5945"/>
    <w:rsid w:val="00BC6346"/>
    <w:rsid w:val="00BD1CB9"/>
    <w:rsid w:val="00BE2CA5"/>
    <w:rsid w:val="00BE7AFB"/>
    <w:rsid w:val="00BF539F"/>
    <w:rsid w:val="00C24202"/>
    <w:rsid w:val="00C80FDD"/>
    <w:rsid w:val="00C922FE"/>
    <w:rsid w:val="00C92530"/>
    <w:rsid w:val="00CA250D"/>
    <w:rsid w:val="00CA2A37"/>
    <w:rsid w:val="00CF356E"/>
    <w:rsid w:val="00D15DD1"/>
    <w:rsid w:val="00D61C00"/>
    <w:rsid w:val="00D90913"/>
    <w:rsid w:val="00D94880"/>
    <w:rsid w:val="00DD7640"/>
    <w:rsid w:val="00E016B3"/>
    <w:rsid w:val="00E0474A"/>
    <w:rsid w:val="00E07B5C"/>
    <w:rsid w:val="00E118F9"/>
    <w:rsid w:val="00E12B9B"/>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3A2"/>
    <w:rsid w:val="00FB47A4"/>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660D45"/>
  <w15:docId w15:val="{1E9B9F4B-134F-4659-A1DF-1DEACA44F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422</Words>
  <Characters>2409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Christopher Gidla</cp:lastModifiedBy>
  <cp:revision>10</cp:revision>
  <cp:lastPrinted>2011-04-08T17:33:00Z</cp:lastPrinted>
  <dcterms:created xsi:type="dcterms:W3CDTF">2011-04-08T17:34:00Z</dcterms:created>
  <dcterms:modified xsi:type="dcterms:W3CDTF">2019-07-26T17:51:00Z</dcterms:modified>
</cp:coreProperties>
</file>