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CB018C">
        <w:rPr>
          <w:rFonts w:ascii="Courier New" w:hAnsi="Courier New" w:cs="Courier New"/>
          <w:b/>
          <w:bCs/>
        </w:rPr>
        <w:t xml:space="preserve">IGNATIUS JOSEPH </w:t>
      </w:r>
      <w:proofErr w:type="spellStart"/>
      <w:r w:rsidR="00CB018C">
        <w:rPr>
          <w:rFonts w:ascii="Courier New" w:hAnsi="Courier New" w:cs="Courier New"/>
          <w:b/>
          <w:bCs/>
        </w:rPr>
        <w:t>CHARLES</w:t>
      </w:r>
      <w:r w:rsidR="00DE6DB9">
        <w:rPr>
          <w:rFonts w:ascii="Courier New" w:hAnsi="Courier New" w:cs="Courier New"/>
        </w:rPr>
        <w:t>,</w:t>
      </w:r>
      <w:r w:rsidR="00CB018C">
        <w:rPr>
          <w:rFonts w:ascii="Courier New" w:hAnsi="Courier New" w:cs="Courier New"/>
        </w:rPr>
        <w:t>of</w:t>
      </w:r>
      <w:proofErr w:type="spellEnd"/>
      <w:r w:rsidR="00CB018C">
        <w:rPr>
          <w:rFonts w:ascii="Courier New" w:hAnsi="Courier New" w:cs="Courier New"/>
        </w:rPr>
        <w:t xml:space="preserve"> # 40, Grant Avenue, Mount Lambert,</w:t>
      </w:r>
      <w:r w:rsidR="001E2745">
        <w:rPr>
          <w:rFonts w:ascii="Courier New" w:hAnsi="Courier New" w:cs="Courier New"/>
        </w:rPr>
        <w:t xml:space="preserve">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parcels of land described in the First Part of the </w:t>
      </w:r>
      <w:r w:rsidR="00DE6DB9">
        <w:rPr>
          <w:rFonts w:ascii="Courier New" w:hAnsi="Courier New"/>
        </w:rPr>
        <w:lastRenderedPageBreak/>
        <w:t>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CB018C">
        <w:rPr>
          <w:rFonts w:ascii="Courier New" w:hAnsi="Courier New"/>
        </w:rPr>
        <w:t>85</w:t>
      </w:r>
      <w:r>
        <w:rPr>
          <w:rFonts w:ascii="Courier New" w:hAnsi="Courier New"/>
        </w:rPr>
        <w:t xml:space="preserve">” more particularly described in the schedule hereto, at or for the price or sum of </w:t>
      </w:r>
      <w:r w:rsidR="00CB018C">
        <w:rPr>
          <w:rFonts w:ascii="Courier New" w:hAnsi="Courier New"/>
          <w:b/>
        </w:rPr>
        <w:t>THREE HUNDRED AND NINETY FOUR THOUSAND AND TWO HUNDRED AND SEVENTY FIVE DOLLARS ($394,275)</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CB018C">
        <w:rPr>
          <w:rFonts w:ascii="Courier New" w:hAnsi="Courier New"/>
          <w:b/>
        </w:rPr>
        <w:t>THREE HUNDRED AND NINETY FOUR THOUSAND AND TWO HUNDRED AND SEVENTY FIVE DOLLARS ($394,275)</w:t>
      </w:r>
      <w:r w:rsidR="00554C86">
        <w:rPr>
          <w:rFonts w:ascii="Courier New" w:hAnsi="Courier New" w:cs="Courier New"/>
          <w:b/>
          <w:bCs/>
        </w:rPr>
        <w:t xml:space="preserve">) </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lastRenderedPageBreak/>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B37526">
        <w:rPr>
          <w:rFonts w:ascii="Courier New" w:hAnsi="Courier New" w:cs="Courier New"/>
        </w:rPr>
        <w:t>8</w:t>
      </w:r>
      <w:r w:rsidR="00F44F2E">
        <w:rPr>
          <w:rFonts w:ascii="Courier New" w:hAnsi="Courier New" w:cs="Courier New"/>
        </w:rPr>
        <w:t>5</w:t>
      </w:r>
      <w:r w:rsidR="00554C86">
        <w:rPr>
          <w:rFonts w:ascii="Courier New" w:hAnsi="Courier New" w:cs="Courier New"/>
        </w:rPr>
        <w:t xml:space="preserve"> delineated and </w:t>
      </w:r>
      <w:proofErr w:type="spellStart"/>
      <w:r w:rsidR="00554C86">
        <w:rPr>
          <w:rFonts w:ascii="Courier New" w:hAnsi="Courier New" w:cs="Courier New"/>
        </w:rPr>
        <w:t>colour</w:t>
      </w:r>
      <w:r w:rsidR="00CB018C">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F44F2E">
        <w:rPr>
          <w:rFonts w:ascii="Courier New" w:hAnsi="Courier New" w:cs="Courier New"/>
          <w:b/>
        </w:rPr>
        <w:t>FIFTEEN THOUSAND SEVEN HUNDRED AND SEVENTY ONE SQUARE FEET</w:t>
      </w:r>
      <w:r w:rsidR="00881915">
        <w:rPr>
          <w:rFonts w:ascii="Courier New" w:hAnsi="Courier New" w:cs="Courier New"/>
          <w:b/>
        </w:rPr>
        <w:t xml:space="preserve"> (</w:t>
      </w:r>
      <w:r w:rsidR="00F44F2E">
        <w:rPr>
          <w:rFonts w:ascii="Courier New" w:hAnsi="Courier New" w:cs="Courier New"/>
          <w:b/>
        </w:rPr>
        <w:t>15,771 sq.ft</w:t>
      </w:r>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1E2745"/>
    <w:rsid w:val="00241298"/>
    <w:rsid w:val="0029586E"/>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9C4F5D"/>
    <w:rsid w:val="00A03C99"/>
    <w:rsid w:val="00A06DF4"/>
    <w:rsid w:val="00A17822"/>
    <w:rsid w:val="00A32C2F"/>
    <w:rsid w:val="00A8298E"/>
    <w:rsid w:val="00A86239"/>
    <w:rsid w:val="00AD7F97"/>
    <w:rsid w:val="00AF55D6"/>
    <w:rsid w:val="00AF64F5"/>
    <w:rsid w:val="00B047C2"/>
    <w:rsid w:val="00B0620D"/>
    <w:rsid w:val="00B10EBD"/>
    <w:rsid w:val="00B1549B"/>
    <w:rsid w:val="00B37526"/>
    <w:rsid w:val="00B40136"/>
    <w:rsid w:val="00B42235"/>
    <w:rsid w:val="00B5797B"/>
    <w:rsid w:val="00B76B91"/>
    <w:rsid w:val="00B822BA"/>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CB018C"/>
    <w:rsid w:val="00D94880"/>
    <w:rsid w:val="00DE6DB9"/>
    <w:rsid w:val="00E271AC"/>
    <w:rsid w:val="00E454E8"/>
    <w:rsid w:val="00E476BA"/>
    <w:rsid w:val="00E61C1F"/>
    <w:rsid w:val="00E67B35"/>
    <w:rsid w:val="00EA3D36"/>
    <w:rsid w:val="00EB66AF"/>
    <w:rsid w:val="00EC5906"/>
    <w:rsid w:val="00ED0A88"/>
    <w:rsid w:val="00ED6C9B"/>
    <w:rsid w:val="00F44F2E"/>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495</Words>
  <Characters>2823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2009-02-17T16:47:00Z</cp:lastPrinted>
  <dcterms:created xsi:type="dcterms:W3CDTF">2009-02-13T19:19:00Z</dcterms:created>
  <dcterms:modified xsi:type="dcterms:W3CDTF">2009-02-17T16:48:00Z</dcterms:modified>
</cp:coreProperties>
</file>